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88" w:rsidRDefault="00337E84" w:rsidP="0048785A">
      <w:pPr>
        <w:jc w:val="center"/>
        <w:rPr>
          <w:b/>
          <w:bCs/>
        </w:rPr>
      </w:pPr>
      <w:r>
        <w:rPr>
          <w:noProof/>
          <w:lang w:val="en-CA" w:eastAsia="en-CA"/>
        </w:rPr>
        <w:drawing>
          <wp:anchor distT="0" distB="0" distL="114300" distR="114300" simplePos="0" relativeHeight="251658240" behindDoc="0" locked="0" layoutInCell="1" allowOverlap="1">
            <wp:simplePos x="0" y="0"/>
            <wp:positionH relativeFrom="column">
              <wp:posOffset>2200275</wp:posOffset>
            </wp:positionH>
            <wp:positionV relativeFrom="paragraph">
              <wp:posOffset>-609600</wp:posOffset>
            </wp:positionV>
            <wp:extent cx="1562100" cy="704850"/>
            <wp:effectExtent l="19050" t="0" r="0" b="0"/>
            <wp:wrapThrough wrapText="bothSides">
              <wp:wrapPolygon edited="0">
                <wp:start x="-263" y="0"/>
                <wp:lineTo x="-263" y="21016"/>
                <wp:lineTo x="21600" y="21016"/>
                <wp:lineTo x="21600" y="0"/>
                <wp:lineTo x="-263" y="0"/>
              </wp:wrapPolygon>
            </wp:wrapThrough>
            <wp:docPr id="2" name="Picture 0" descr="NHH Logo 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HH Logo no tag.jpg"/>
                    <pic:cNvPicPr>
                      <a:picLocks noChangeAspect="1" noChangeArrowheads="1"/>
                    </pic:cNvPicPr>
                  </pic:nvPicPr>
                  <pic:blipFill>
                    <a:blip r:embed="rId5"/>
                    <a:srcRect/>
                    <a:stretch>
                      <a:fillRect/>
                    </a:stretch>
                  </pic:blipFill>
                  <pic:spPr bwMode="auto">
                    <a:xfrm>
                      <a:off x="0" y="0"/>
                      <a:ext cx="1562100" cy="704850"/>
                    </a:xfrm>
                    <a:prstGeom prst="rect">
                      <a:avLst/>
                    </a:prstGeom>
                    <a:noFill/>
                  </pic:spPr>
                </pic:pic>
              </a:graphicData>
            </a:graphic>
          </wp:anchor>
        </w:drawing>
      </w:r>
    </w:p>
    <w:p w:rsidR="00356D88" w:rsidRDefault="00356D88" w:rsidP="00AA56F6">
      <w:pPr>
        <w:spacing w:after="120" w:line="240" w:lineRule="auto"/>
        <w:jc w:val="center"/>
        <w:outlineLvl w:val="0"/>
        <w:rPr>
          <w:b/>
          <w:bCs/>
          <w:sz w:val="24"/>
          <w:szCs w:val="24"/>
        </w:rPr>
      </w:pPr>
      <w:r>
        <w:rPr>
          <w:b/>
          <w:bCs/>
          <w:sz w:val="24"/>
          <w:szCs w:val="24"/>
        </w:rPr>
        <w:t>CLOSTRIDIUM DIFFICILE ASSOCIATED DISEASE (CDI)</w:t>
      </w:r>
    </w:p>
    <w:p w:rsidR="00AA56F6" w:rsidRDefault="009423EE" w:rsidP="00AA56F6">
      <w:pPr>
        <w:spacing w:after="120" w:line="240" w:lineRule="auto"/>
        <w:jc w:val="center"/>
        <w:rPr>
          <w:b/>
          <w:bCs/>
          <w:sz w:val="24"/>
          <w:szCs w:val="24"/>
        </w:rPr>
      </w:pPr>
      <w:r>
        <w:rPr>
          <w:b/>
          <w:bCs/>
          <w:sz w:val="24"/>
          <w:szCs w:val="24"/>
        </w:rPr>
        <w:t>January 2012</w:t>
      </w:r>
    </w:p>
    <w:p w:rsidR="00356D88" w:rsidRPr="00AA56F6" w:rsidRDefault="00AA56F6" w:rsidP="00AA56F6">
      <w:pPr>
        <w:spacing w:after="120" w:line="240" w:lineRule="auto"/>
        <w:jc w:val="center"/>
        <w:rPr>
          <w:bCs/>
        </w:rPr>
      </w:pPr>
      <w:r w:rsidRPr="00AA56F6">
        <w:rPr>
          <w:bCs/>
        </w:rPr>
        <w:t xml:space="preserve">Posted </w:t>
      </w:r>
      <w:r w:rsidR="009423EE">
        <w:rPr>
          <w:bCs/>
        </w:rPr>
        <w:t>February 21</w:t>
      </w:r>
      <w:r w:rsidRPr="00AA56F6">
        <w:rPr>
          <w:bCs/>
        </w:rPr>
        <w:t xml:space="preserve"> 201</w:t>
      </w:r>
      <w:r w:rsidR="009423EE">
        <w:rPr>
          <w:bCs/>
        </w:rPr>
        <w:t>2</w:t>
      </w:r>
      <w:r w:rsidRPr="00AA56F6">
        <w:rPr>
          <w:bCs/>
        </w:rPr>
        <w:t xml:space="preserve"> (Reported monthly at the end of the following month)</w:t>
      </w:r>
    </w:p>
    <w:p w:rsidR="00AA56F6" w:rsidRDefault="00AA56F6" w:rsidP="008108C9">
      <w:pPr>
        <w:outlineLvl w:val="0"/>
        <w:rPr>
          <w:b/>
          <w:bCs/>
          <w:sz w:val="24"/>
          <w:szCs w:val="24"/>
        </w:rPr>
      </w:pPr>
    </w:p>
    <w:p w:rsidR="00356D88" w:rsidRDefault="00356D88" w:rsidP="008108C9">
      <w:pPr>
        <w:outlineLvl w:val="0"/>
        <w:rPr>
          <w:b/>
          <w:bCs/>
          <w:sz w:val="24"/>
          <w:szCs w:val="24"/>
        </w:rPr>
      </w:pPr>
      <w:r>
        <w:rPr>
          <w:b/>
          <w:bCs/>
          <w:sz w:val="24"/>
          <w:szCs w:val="24"/>
        </w:rPr>
        <w:t xml:space="preserve">What is Clostridium </w:t>
      </w:r>
      <w:proofErr w:type="spellStart"/>
      <w:r>
        <w:rPr>
          <w:b/>
          <w:bCs/>
          <w:sz w:val="24"/>
          <w:szCs w:val="24"/>
        </w:rPr>
        <w:t>Difficile</w:t>
      </w:r>
      <w:proofErr w:type="spellEnd"/>
      <w:r>
        <w:rPr>
          <w:b/>
          <w:bCs/>
          <w:sz w:val="24"/>
          <w:szCs w:val="24"/>
        </w:rPr>
        <w:t xml:space="preserve"> (C. </w:t>
      </w:r>
      <w:proofErr w:type="spellStart"/>
      <w:r>
        <w:rPr>
          <w:b/>
          <w:bCs/>
          <w:sz w:val="24"/>
          <w:szCs w:val="24"/>
        </w:rPr>
        <w:t>difficile</w:t>
      </w:r>
      <w:proofErr w:type="spellEnd"/>
      <w:r>
        <w:rPr>
          <w:b/>
          <w:bCs/>
          <w:sz w:val="24"/>
          <w:szCs w:val="24"/>
        </w:rPr>
        <w:t xml:space="preserve"> or C. diff)?</w:t>
      </w:r>
    </w:p>
    <w:p w:rsidR="00356D88" w:rsidRPr="00D70407" w:rsidRDefault="00356D88" w:rsidP="0048785A">
      <w:r w:rsidRPr="00D70407">
        <w:t xml:space="preserve">C. diff is one of the many types of bacteria that can be found in feces (bowel movement). For most people, C. </w:t>
      </w:r>
      <w:proofErr w:type="spellStart"/>
      <w:r w:rsidRPr="00D70407">
        <w:t>difficile</w:t>
      </w:r>
      <w:proofErr w:type="spellEnd"/>
      <w:r w:rsidRPr="00D70407">
        <w:t xml:space="preserve"> does not pose a health risk. When </w:t>
      </w:r>
      <w:proofErr w:type="gramStart"/>
      <w:r w:rsidRPr="00D70407">
        <w:t xml:space="preserve">C. </w:t>
      </w:r>
      <w:proofErr w:type="spellStart"/>
      <w:r w:rsidRPr="00D70407">
        <w:t>difficile</w:t>
      </w:r>
      <w:proofErr w:type="spellEnd"/>
      <w:r w:rsidRPr="00D70407">
        <w:t xml:space="preserve"> bacteria grows</w:t>
      </w:r>
      <w:proofErr w:type="gramEnd"/>
      <w:r w:rsidRPr="00D70407">
        <w:t xml:space="preserve"> in the bowel, it produces toxins. These toxins can damage the bowel and cause diarrhea, causing a disease known as Clostridium </w:t>
      </w:r>
      <w:proofErr w:type="spellStart"/>
      <w:r w:rsidRPr="00D70407">
        <w:t>difficile</w:t>
      </w:r>
      <w:proofErr w:type="spellEnd"/>
      <w:r w:rsidRPr="00D70407">
        <w:t>-associated Disease (CDI). The effects of CDI are usually mild but sometimes can be more severe. Symptoms can range from mild or severe diarrhea to high fever, abdominal cramping, abdominal pain and dehydration. In severe cases, surgery may be needed, and in extreme cases CDI may cause death.</w:t>
      </w:r>
    </w:p>
    <w:p w:rsidR="00356D88" w:rsidRDefault="00356D88" w:rsidP="008108C9">
      <w:pPr>
        <w:outlineLvl w:val="0"/>
        <w:rPr>
          <w:b/>
          <w:bCs/>
          <w:i/>
          <w:iCs/>
          <w:sz w:val="24"/>
          <w:szCs w:val="24"/>
        </w:rPr>
      </w:pPr>
      <w:r>
        <w:rPr>
          <w:b/>
          <w:bCs/>
          <w:sz w:val="24"/>
          <w:szCs w:val="24"/>
        </w:rPr>
        <w:t xml:space="preserve">For more information on Clostridium </w:t>
      </w:r>
      <w:proofErr w:type="spellStart"/>
      <w:r>
        <w:rPr>
          <w:b/>
          <w:bCs/>
          <w:sz w:val="24"/>
          <w:szCs w:val="24"/>
        </w:rPr>
        <w:t>Difficile</w:t>
      </w:r>
      <w:proofErr w:type="spellEnd"/>
      <w:r>
        <w:rPr>
          <w:b/>
          <w:bCs/>
          <w:sz w:val="24"/>
          <w:szCs w:val="24"/>
        </w:rPr>
        <w:t xml:space="preserve">, click </w:t>
      </w:r>
      <w:hyperlink r:id="rId6" w:history="1">
        <w:r w:rsidRPr="0048785A">
          <w:rPr>
            <w:rStyle w:val="Hyperlink"/>
            <w:rFonts w:cs="Arial"/>
            <w:b/>
            <w:bCs/>
            <w:i/>
            <w:iCs/>
            <w:sz w:val="24"/>
            <w:szCs w:val="24"/>
          </w:rPr>
          <w:t>here</w:t>
        </w:r>
      </w:hyperlink>
      <w:r>
        <w:rPr>
          <w:b/>
          <w:bCs/>
          <w:i/>
          <w:iCs/>
          <w:sz w:val="24"/>
          <w:szCs w:val="24"/>
        </w:rPr>
        <w:t>.</w:t>
      </w:r>
    </w:p>
    <w:p w:rsidR="00356D88" w:rsidRPr="00943FFC" w:rsidRDefault="00356D88" w:rsidP="008108C9">
      <w:pPr>
        <w:jc w:val="center"/>
        <w:outlineLvl w:val="0"/>
        <w:rPr>
          <w:b/>
          <w:bCs/>
          <w:sz w:val="24"/>
          <w:szCs w:val="24"/>
          <w:u w:val="single"/>
        </w:rPr>
      </w:pPr>
      <w:r w:rsidRPr="00943FFC">
        <w:rPr>
          <w:b/>
          <w:bCs/>
          <w:sz w:val="24"/>
          <w:szCs w:val="24"/>
          <w:u w:val="single"/>
        </w:rPr>
        <w:t>NHH Rate of CD</w:t>
      </w:r>
      <w:r>
        <w:rPr>
          <w:b/>
          <w:bCs/>
          <w:sz w:val="24"/>
          <w:szCs w:val="24"/>
          <w:u w:val="single"/>
        </w:rPr>
        <w:t>I</w:t>
      </w:r>
      <w:r w:rsidRPr="00943FFC">
        <w:rPr>
          <w:b/>
          <w:bCs/>
          <w:sz w:val="24"/>
          <w:szCs w:val="24"/>
          <w:u w:val="single"/>
        </w:rPr>
        <w:t xml:space="preserve"> Infection</w:t>
      </w:r>
    </w:p>
    <w:tbl>
      <w:tblPr>
        <w:tblpPr w:leftFromText="180" w:rightFromText="180" w:vertAnchor="text" w:horzAnchor="margin" w:tblpXSpec="center" w:tblpY="4972"/>
        <w:tblOverlap w:val="never"/>
        <w:tblW w:w="1018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818"/>
        <w:gridCol w:w="643"/>
        <w:gridCol w:w="644"/>
        <w:gridCol w:w="644"/>
        <w:gridCol w:w="644"/>
        <w:gridCol w:w="644"/>
        <w:gridCol w:w="644"/>
        <w:gridCol w:w="643"/>
        <w:gridCol w:w="644"/>
        <w:gridCol w:w="644"/>
        <w:gridCol w:w="644"/>
        <w:gridCol w:w="644"/>
        <w:gridCol w:w="644"/>
        <w:gridCol w:w="644"/>
      </w:tblGrid>
      <w:tr w:rsidR="009423EE" w:rsidRPr="009423EE" w:rsidTr="009423EE">
        <w:tc>
          <w:tcPr>
            <w:tcW w:w="1818" w:type="dxa"/>
          </w:tcPr>
          <w:p w:rsidR="009423EE" w:rsidRPr="009423EE" w:rsidRDefault="009423EE" w:rsidP="00EE70BB">
            <w:pPr>
              <w:spacing w:after="0" w:line="240" w:lineRule="auto"/>
              <w:jc w:val="center"/>
              <w:rPr>
                <w:rFonts w:ascii="Calibri" w:hAnsi="Calibri" w:cs="Calibri"/>
                <w:sz w:val="20"/>
                <w:szCs w:val="20"/>
              </w:rPr>
            </w:pPr>
          </w:p>
        </w:tc>
        <w:tc>
          <w:tcPr>
            <w:tcW w:w="643"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Jan 2011</w:t>
            </w: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Feb</w:t>
            </w:r>
          </w:p>
          <w:p w:rsidR="009423EE" w:rsidRPr="009423EE" w:rsidRDefault="009423EE" w:rsidP="00EE70BB">
            <w:pPr>
              <w:spacing w:after="0" w:line="240" w:lineRule="auto"/>
              <w:jc w:val="center"/>
              <w:rPr>
                <w:rFonts w:ascii="Calibri" w:hAnsi="Calibri" w:cs="Calibri"/>
                <w:sz w:val="20"/>
                <w:szCs w:val="20"/>
              </w:rPr>
            </w:pP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 xml:space="preserve">Mar </w:t>
            </w: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Apr</w:t>
            </w:r>
          </w:p>
          <w:p w:rsidR="009423EE" w:rsidRPr="009423EE" w:rsidRDefault="009423EE" w:rsidP="00EE70BB">
            <w:pPr>
              <w:spacing w:after="0" w:line="240" w:lineRule="auto"/>
              <w:rPr>
                <w:rFonts w:ascii="Calibri" w:hAnsi="Calibri" w:cs="Calibri"/>
                <w:sz w:val="20"/>
                <w:szCs w:val="20"/>
              </w:rPr>
            </w:pP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May</w:t>
            </w:r>
          </w:p>
          <w:p w:rsidR="009423EE" w:rsidRPr="009423EE" w:rsidRDefault="009423EE" w:rsidP="00EE70BB">
            <w:pPr>
              <w:spacing w:after="0" w:line="240" w:lineRule="auto"/>
              <w:jc w:val="center"/>
              <w:rPr>
                <w:rFonts w:ascii="Calibri" w:hAnsi="Calibri" w:cs="Calibri"/>
                <w:sz w:val="20"/>
                <w:szCs w:val="20"/>
              </w:rPr>
            </w:pP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Jun</w:t>
            </w:r>
          </w:p>
          <w:p w:rsidR="009423EE" w:rsidRPr="009423EE" w:rsidRDefault="009423EE" w:rsidP="00EE70BB">
            <w:pPr>
              <w:spacing w:after="0" w:line="240" w:lineRule="auto"/>
              <w:jc w:val="center"/>
              <w:rPr>
                <w:rFonts w:ascii="Calibri" w:hAnsi="Calibri" w:cs="Calibri"/>
                <w:sz w:val="20"/>
                <w:szCs w:val="20"/>
              </w:rPr>
            </w:pPr>
          </w:p>
        </w:tc>
        <w:tc>
          <w:tcPr>
            <w:tcW w:w="643"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Jul</w:t>
            </w: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Aug</w:t>
            </w:r>
          </w:p>
          <w:p w:rsidR="009423EE" w:rsidRPr="009423EE" w:rsidRDefault="009423EE" w:rsidP="00EE70BB">
            <w:pPr>
              <w:spacing w:after="0" w:line="240" w:lineRule="auto"/>
              <w:jc w:val="center"/>
              <w:rPr>
                <w:rFonts w:ascii="Calibri" w:hAnsi="Calibri" w:cs="Calibri"/>
                <w:sz w:val="20"/>
                <w:szCs w:val="20"/>
              </w:rPr>
            </w:pPr>
          </w:p>
        </w:tc>
        <w:tc>
          <w:tcPr>
            <w:tcW w:w="644" w:type="dxa"/>
          </w:tcPr>
          <w:p w:rsidR="009423EE" w:rsidRPr="009423EE" w:rsidRDefault="009423EE" w:rsidP="00707753">
            <w:pPr>
              <w:spacing w:after="0" w:line="240" w:lineRule="auto"/>
              <w:jc w:val="center"/>
              <w:rPr>
                <w:rFonts w:ascii="Calibri" w:hAnsi="Calibri" w:cs="Calibri"/>
                <w:sz w:val="20"/>
                <w:szCs w:val="20"/>
              </w:rPr>
            </w:pPr>
            <w:r w:rsidRPr="009423EE">
              <w:rPr>
                <w:rFonts w:ascii="Calibri" w:hAnsi="Calibri" w:cs="Calibri"/>
                <w:sz w:val="20"/>
                <w:szCs w:val="20"/>
              </w:rPr>
              <w:t xml:space="preserve">Sept </w:t>
            </w: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Oct</w:t>
            </w:r>
          </w:p>
        </w:tc>
        <w:tc>
          <w:tcPr>
            <w:tcW w:w="644" w:type="dxa"/>
          </w:tcPr>
          <w:p w:rsidR="009423EE" w:rsidRPr="009423EE" w:rsidRDefault="009423EE" w:rsidP="009423EE">
            <w:pPr>
              <w:spacing w:after="0" w:line="240" w:lineRule="auto"/>
              <w:jc w:val="center"/>
              <w:rPr>
                <w:rFonts w:ascii="Calibri" w:hAnsi="Calibri" w:cs="Calibri"/>
                <w:sz w:val="20"/>
                <w:szCs w:val="20"/>
              </w:rPr>
            </w:pPr>
            <w:r w:rsidRPr="009423EE">
              <w:rPr>
                <w:rFonts w:ascii="Calibri" w:hAnsi="Calibri" w:cs="Calibri"/>
                <w:sz w:val="20"/>
                <w:szCs w:val="20"/>
              </w:rPr>
              <w:t xml:space="preserve">Nov </w:t>
            </w: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Dec</w:t>
            </w: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Jan 2012</w:t>
            </w:r>
          </w:p>
        </w:tc>
      </w:tr>
      <w:tr w:rsidR="009423EE" w:rsidRPr="009423EE" w:rsidTr="009423EE">
        <w:tc>
          <w:tcPr>
            <w:tcW w:w="1818" w:type="dxa"/>
          </w:tcPr>
          <w:p w:rsidR="009423EE" w:rsidRPr="009423EE" w:rsidRDefault="009423EE" w:rsidP="00EE70BB">
            <w:pPr>
              <w:spacing w:after="0" w:line="240" w:lineRule="auto"/>
              <w:rPr>
                <w:rFonts w:asciiTheme="minorHAnsi" w:hAnsiTheme="minorHAnsi"/>
                <w:sz w:val="20"/>
                <w:szCs w:val="20"/>
              </w:rPr>
            </w:pPr>
            <w:r w:rsidRPr="009423EE">
              <w:rPr>
                <w:rFonts w:asciiTheme="minorHAnsi" w:hAnsiTheme="minorHAnsi"/>
                <w:sz w:val="20"/>
                <w:szCs w:val="20"/>
              </w:rPr>
              <w:t># New Cases, NHH</w:t>
            </w:r>
          </w:p>
          <w:p w:rsidR="009423EE" w:rsidRPr="009423EE" w:rsidRDefault="009423EE" w:rsidP="00EE70BB">
            <w:pPr>
              <w:spacing w:after="0" w:line="240" w:lineRule="auto"/>
              <w:rPr>
                <w:rFonts w:ascii="Calibri" w:hAnsi="Calibri" w:cs="Calibri"/>
                <w:sz w:val="20"/>
                <w:szCs w:val="20"/>
              </w:rPr>
            </w:pPr>
          </w:p>
        </w:tc>
        <w:tc>
          <w:tcPr>
            <w:tcW w:w="643" w:type="dxa"/>
          </w:tcPr>
          <w:p w:rsidR="009423EE" w:rsidRPr="009423EE" w:rsidRDefault="009423EE" w:rsidP="00EE70BB">
            <w:pPr>
              <w:spacing w:after="0" w:line="240" w:lineRule="auto"/>
              <w:rPr>
                <w:rFonts w:ascii="Calibri" w:hAnsi="Calibri" w:cs="Calibri"/>
                <w:sz w:val="20"/>
                <w:szCs w:val="20"/>
              </w:rPr>
            </w:pPr>
            <w:r w:rsidRPr="009423EE">
              <w:rPr>
                <w:rFonts w:ascii="Calibri" w:hAnsi="Calibri" w:cs="Calibri"/>
                <w:sz w:val="20"/>
                <w:szCs w:val="20"/>
              </w:rPr>
              <w:t>0</w:t>
            </w:r>
          </w:p>
        </w:tc>
        <w:tc>
          <w:tcPr>
            <w:tcW w:w="644" w:type="dxa"/>
          </w:tcPr>
          <w:p w:rsidR="009423EE" w:rsidRPr="009423EE" w:rsidRDefault="009423EE" w:rsidP="00EE70BB">
            <w:pPr>
              <w:spacing w:after="0" w:line="240" w:lineRule="auto"/>
              <w:rPr>
                <w:rFonts w:ascii="Calibri" w:hAnsi="Calibri" w:cs="Calibri"/>
                <w:sz w:val="20"/>
                <w:szCs w:val="20"/>
              </w:rPr>
            </w:pPr>
            <w:r w:rsidRPr="009423EE">
              <w:rPr>
                <w:rFonts w:ascii="Calibri" w:hAnsi="Calibri" w:cs="Calibri"/>
                <w:sz w:val="20"/>
                <w:szCs w:val="20"/>
              </w:rPr>
              <w:t>0</w:t>
            </w:r>
          </w:p>
        </w:tc>
        <w:tc>
          <w:tcPr>
            <w:tcW w:w="644" w:type="dxa"/>
          </w:tcPr>
          <w:p w:rsidR="009423EE" w:rsidRPr="009423EE" w:rsidRDefault="009423EE" w:rsidP="00EE70BB">
            <w:pPr>
              <w:spacing w:after="0" w:line="240" w:lineRule="auto"/>
              <w:rPr>
                <w:rFonts w:ascii="Calibri" w:hAnsi="Calibri" w:cs="Calibri"/>
                <w:sz w:val="20"/>
                <w:szCs w:val="20"/>
              </w:rPr>
            </w:pPr>
            <w:r w:rsidRPr="009423EE">
              <w:rPr>
                <w:rFonts w:ascii="Calibri" w:hAnsi="Calibri" w:cs="Calibri"/>
                <w:sz w:val="20"/>
                <w:szCs w:val="20"/>
              </w:rPr>
              <w:t>&lt;5</w:t>
            </w: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0</w:t>
            </w:r>
          </w:p>
        </w:tc>
        <w:tc>
          <w:tcPr>
            <w:tcW w:w="644" w:type="dxa"/>
          </w:tcPr>
          <w:p w:rsidR="009423EE" w:rsidRPr="009423EE" w:rsidRDefault="009423EE" w:rsidP="00EE70BB">
            <w:pPr>
              <w:spacing w:after="0" w:line="240" w:lineRule="auto"/>
              <w:rPr>
                <w:rFonts w:ascii="Calibri" w:hAnsi="Calibri" w:cs="Calibri"/>
                <w:sz w:val="20"/>
                <w:szCs w:val="20"/>
              </w:rPr>
            </w:pPr>
            <w:r w:rsidRPr="009423EE">
              <w:rPr>
                <w:rFonts w:ascii="Calibri" w:hAnsi="Calibri" w:cs="Calibri"/>
                <w:sz w:val="20"/>
                <w:szCs w:val="20"/>
              </w:rPr>
              <w:t>&lt;5</w:t>
            </w: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0</w:t>
            </w:r>
          </w:p>
        </w:tc>
        <w:tc>
          <w:tcPr>
            <w:tcW w:w="643"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0</w:t>
            </w: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&lt;5</w:t>
            </w: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0</w:t>
            </w:r>
          </w:p>
        </w:tc>
        <w:tc>
          <w:tcPr>
            <w:tcW w:w="644" w:type="dxa"/>
          </w:tcPr>
          <w:p w:rsidR="009423EE" w:rsidRPr="009423EE" w:rsidRDefault="009423EE" w:rsidP="00EE70BB">
            <w:pPr>
              <w:spacing w:after="0" w:line="240" w:lineRule="auto"/>
              <w:jc w:val="center"/>
              <w:rPr>
                <w:rFonts w:ascii="Calibri" w:hAnsi="Calibri" w:cs="Calibri"/>
                <w:sz w:val="20"/>
                <w:szCs w:val="20"/>
              </w:rPr>
            </w:pPr>
            <w:r w:rsidRPr="009423EE">
              <w:rPr>
                <w:rFonts w:ascii="Calibri" w:hAnsi="Calibri" w:cs="Calibri"/>
                <w:sz w:val="20"/>
                <w:szCs w:val="20"/>
              </w:rPr>
              <w:t>0</w:t>
            </w:r>
          </w:p>
        </w:tc>
        <w:tc>
          <w:tcPr>
            <w:tcW w:w="644" w:type="dxa"/>
          </w:tcPr>
          <w:p w:rsidR="009423EE" w:rsidRPr="009423EE" w:rsidRDefault="009423EE" w:rsidP="001E7949">
            <w:pPr>
              <w:spacing w:after="0" w:line="240" w:lineRule="auto"/>
              <w:jc w:val="center"/>
              <w:rPr>
                <w:rFonts w:ascii="Calibri" w:hAnsi="Calibri" w:cs="Calibri"/>
                <w:sz w:val="20"/>
                <w:szCs w:val="20"/>
              </w:rPr>
            </w:pPr>
            <w:r w:rsidRPr="009423EE">
              <w:rPr>
                <w:rFonts w:ascii="Calibri" w:hAnsi="Calibri" w:cs="Calibri"/>
                <w:sz w:val="20"/>
                <w:szCs w:val="20"/>
              </w:rPr>
              <w:t>&lt;5</w:t>
            </w:r>
          </w:p>
        </w:tc>
        <w:tc>
          <w:tcPr>
            <w:tcW w:w="644" w:type="dxa"/>
          </w:tcPr>
          <w:p w:rsidR="009423EE" w:rsidRPr="009423EE" w:rsidRDefault="009423EE" w:rsidP="001E7949">
            <w:pPr>
              <w:spacing w:after="0" w:line="240" w:lineRule="auto"/>
              <w:jc w:val="center"/>
              <w:rPr>
                <w:rFonts w:ascii="Calibri" w:hAnsi="Calibri" w:cs="Calibri"/>
                <w:sz w:val="20"/>
                <w:szCs w:val="20"/>
              </w:rPr>
            </w:pPr>
            <w:r w:rsidRPr="009423EE">
              <w:rPr>
                <w:rFonts w:ascii="Calibri" w:hAnsi="Calibri" w:cs="Calibri"/>
                <w:sz w:val="20"/>
                <w:szCs w:val="20"/>
              </w:rPr>
              <w:t>&lt;5</w:t>
            </w:r>
          </w:p>
        </w:tc>
        <w:tc>
          <w:tcPr>
            <w:tcW w:w="644" w:type="dxa"/>
          </w:tcPr>
          <w:p w:rsidR="009423EE" w:rsidRPr="009423EE" w:rsidRDefault="009423EE" w:rsidP="001E7949">
            <w:pPr>
              <w:spacing w:after="0" w:line="240" w:lineRule="auto"/>
              <w:jc w:val="center"/>
              <w:rPr>
                <w:rFonts w:ascii="Calibri" w:hAnsi="Calibri" w:cs="Calibri"/>
                <w:sz w:val="20"/>
                <w:szCs w:val="20"/>
              </w:rPr>
            </w:pPr>
            <w:r>
              <w:rPr>
                <w:rFonts w:ascii="Calibri" w:hAnsi="Calibri" w:cs="Calibri"/>
                <w:sz w:val="20"/>
                <w:szCs w:val="20"/>
              </w:rPr>
              <w:t>&lt;5</w:t>
            </w:r>
          </w:p>
        </w:tc>
      </w:tr>
    </w:tbl>
    <w:p w:rsidR="00356D88" w:rsidRDefault="00D861EA" w:rsidP="00CD1B84">
      <w:pPr>
        <w:rPr>
          <w:b/>
          <w:bCs/>
          <w:sz w:val="24"/>
          <w:szCs w:val="24"/>
        </w:rPr>
      </w:pPr>
      <w:r>
        <w:rPr>
          <w:b/>
          <w:bCs/>
          <w:noProof/>
          <w:sz w:val="24"/>
          <w:szCs w:val="24"/>
          <w:lang w:val="en-CA" w:eastAsia="en-CA"/>
        </w:rPr>
        <w:drawing>
          <wp:inline distT="0" distB="0" distL="0" distR="0" wp14:anchorId="2245F3F5" wp14:editId="70ACBDD7">
            <wp:extent cx="6484620" cy="299466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A56F6" w:rsidRDefault="00AA56F6">
      <w:pPr>
        <w:rPr>
          <w:sz w:val="20"/>
          <w:szCs w:val="20"/>
        </w:rPr>
      </w:pPr>
    </w:p>
    <w:p w:rsidR="00356D88" w:rsidRPr="00AA56F6" w:rsidRDefault="00356D88">
      <w:r w:rsidRPr="00AA56F6">
        <w:t xml:space="preserve">The CDI rate is calculated in Ontario by dividing the number of new cases observed in the hospital by the average number of patient-days per reporting period for the facility (e.g. 100 </w:t>
      </w:r>
      <w:bookmarkStart w:id="0" w:name="_GoBack"/>
      <w:bookmarkEnd w:id="0"/>
      <w:r w:rsidRPr="00AA56F6">
        <w:lastRenderedPageBreak/>
        <w:t>patients staying an average of 10 days = 1,000 patient-days). This rate calculation allows the level of hospital activity to be taken into account because this will fluctuate over time and is different across hospitals. Rates are expressed as cases per 1,000 patient-days and exclude patients less than 1 year of age.</w:t>
      </w:r>
    </w:p>
    <w:p w:rsidR="00356D88" w:rsidRPr="00AA56F6" w:rsidRDefault="00356D88" w:rsidP="00943FFC">
      <w:r w:rsidRPr="00AA56F6">
        <w:t>Hospitals reporting less than 5 cases are not permitted to give the specific number but, rather, report “less than 5 cases” to avoid inadvertently identifying specific patients. Hospitals with zero cases also report their status.</w:t>
      </w:r>
    </w:p>
    <w:sectPr w:rsidR="00356D88" w:rsidRPr="00AA56F6" w:rsidSect="00943FFC">
      <w:pgSz w:w="12240" w:h="15840"/>
      <w:pgMar w:top="1440" w:right="1440" w:bottom="90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51"/>
    <w:rsid w:val="00010913"/>
    <w:rsid w:val="00041269"/>
    <w:rsid w:val="00041787"/>
    <w:rsid w:val="00061CA3"/>
    <w:rsid w:val="00066CE3"/>
    <w:rsid w:val="000841D4"/>
    <w:rsid w:val="000865F5"/>
    <w:rsid w:val="00086E13"/>
    <w:rsid w:val="000A4CA5"/>
    <w:rsid w:val="000B2226"/>
    <w:rsid w:val="000C667E"/>
    <w:rsid w:val="000E6B1E"/>
    <w:rsid w:val="000F588D"/>
    <w:rsid w:val="000F58A2"/>
    <w:rsid w:val="00101044"/>
    <w:rsid w:val="001224C9"/>
    <w:rsid w:val="001E7949"/>
    <w:rsid w:val="002133B1"/>
    <w:rsid w:val="00214494"/>
    <w:rsid w:val="00214B13"/>
    <w:rsid w:val="00240451"/>
    <w:rsid w:val="00245631"/>
    <w:rsid w:val="002642BE"/>
    <w:rsid w:val="00265E46"/>
    <w:rsid w:val="0028264D"/>
    <w:rsid w:val="002E5F94"/>
    <w:rsid w:val="002E67FC"/>
    <w:rsid w:val="00322545"/>
    <w:rsid w:val="00337E84"/>
    <w:rsid w:val="00356D88"/>
    <w:rsid w:val="00371D18"/>
    <w:rsid w:val="0038741E"/>
    <w:rsid w:val="003B2458"/>
    <w:rsid w:val="003C0C27"/>
    <w:rsid w:val="003C292A"/>
    <w:rsid w:val="003C43E4"/>
    <w:rsid w:val="003D14D1"/>
    <w:rsid w:val="003E07F3"/>
    <w:rsid w:val="004010D1"/>
    <w:rsid w:val="004067CD"/>
    <w:rsid w:val="004070B9"/>
    <w:rsid w:val="004203B9"/>
    <w:rsid w:val="00480C4C"/>
    <w:rsid w:val="0048785A"/>
    <w:rsid w:val="004D0849"/>
    <w:rsid w:val="004D7428"/>
    <w:rsid w:val="00522906"/>
    <w:rsid w:val="00534591"/>
    <w:rsid w:val="0057441B"/>
    <w:rsid w:val="005934FD"/>
    <w:rsid w:val="005A6349"/>
    <w:rsid w:val="005D25E1"/>
    <w:rsid w:val="005E4357"/>
    <w:rsid w:val="005E6A41"/>
    <w:rsid w:val="005F06E0"/>
    <w:rsid w:val="00615405"/>
    <w:rsid w:val="00633491"/>
    <w:rsid w:val="00650F21"/>
    <w:rsid w:val="0065210E"/>
    <w:rsid w:val="00664926"/>
    <w:rsid w:val="00677AF9"/>
    <w:rsid w:val="006A3396"/>
    <w:rsid w:val="006D4F07"/>
    <w:rsid w:val="006F49FF"/>
    <w:rsid w:val="00707753"/>
    <w:rsid w:val="007207A7"/>
    <w:rsid w:val="00720824"/>
    <w:rsid w:val="0074063C"/>
    <w:rsid w:val="007700DE"/>
    <w:rsid w:val="007841FE"/>
    <w:rsid w:val="00791F1E"/>
    <w:rsid w:val="007A057F"/>
    <w:rsid w:val="007B48CE"/>
    <w:rsid w:val="007B6B15"/>
    <w:rsid w:val="007C1DFC"/>
    <w:rsid w:val="007C71CE"/>
    <w:rsid w:val="007C7BFE"/>
    <w:rsid w:val="007E5B9D"/>
    <w:rsid w:val="008108C9"/>
    <w:rsid w:val="0082088A"/>
    <w:rsid w:val="00826DF4"/>
    <w:rsid w:val="0083105B"/>
    <w:rsid w:val="00854A64"/>
    <w:rsid w:val="00864DFF"/>
    <w:rsid w:val="008931FD"/>
    <w:rsid w:val="008B0761"/>
    <w:rsid w:val="008F4213"/>
    <w:rsid w:val="00912E37"/>
    <w:rsid w:val="0091381C"/>
    <w:rsid w:val="00922753"/>
    <w:rsid w:val="009423EE"/>
    <w:rsid w:val="00943FFC"/>
    <w:rsid w:val="0094573C"/>
    <w:rsid w:val="00956FE9"/>
    <w:rsid w:val="009A2524"/>
    <w:rsid w:val="009B01FE"/>
    <w:rsid w:val="009C4989"/>
    <w:rsid w:val="009C6979"/>
    <w:rsid w:val="009D7AA0"/>
    <w:rsid w:val="009E1912"/>
    <w:rsid w:val="009F52FC"/>
    <w:rsid w:val="00A05DBA"/>
    <w:rsid w:val="00A133D6"/>
    <w:rsid w:val="00A22928"/>
    <w:rsid w:val="00A26240"/>
    <w:rsid w:val="00A463D5"/>
    <w:rsid w:val="00A50650"/>
    <w:rsid w:val="00A6782B"/>
    <w:rsid w:val="00A7108B"/>
    <w:rsid w:val="00A853ED"/>
    <w:rsid w:val="00AA29D3"/>
    <w:rsid w:val="00AA56F6"/>
    <w:rsid w:val="00AB6AF3"/>
    <w:rsid w:val="00AB7A65"/>
    <w:rsid w:val="00AD106D"/>
    <w:rsid w:val="00AD74BB"/>
    <w:rsid w:val="00B01AEB"/>
    <w:rsid w:val="00B33087"/>
    <w:rsid w:val="00B46C66"/>
    <w:rsid w:val="00B60569"/>
    <w:rsid w:val="00B638E1"/>
    <w:rsid w:val="00C0039F"/>
    <w:rsid w:val="00C01714"/>
    <w:rsid w:val="00C51A60"/>
    <w:rsid w:val="00C62226"/>
    <w:rsid w:val="00C6489D"/>
    <w:rsid w:val="00C701E2"/>
    <w:rsid w:val="00C80EB5"/>
    <w:rsid w:val="00C93A2B"/>
    <w:rsid w:val="00C966FD"/>
    <w:rsid w:val="00CA3571"/>
    <w:rsid w:val="00CD0D02"/>
    <w:rsid w:val="00CD1B84"/>
    <w:rsid w:val="00CD5EB3"/>
    <w:rsid w:val="00CE2828"/>
    <w:rsid w:val="00D12DAB"/>
    <w:rsid w:val="00D161AA"/>
    <w:rsid w:val="00D40606"/>
    <w:rsid w:val="00D51DCA"/>
    <w:rsid w:val="00D70407"/>
    <w:rsid w:val="00D861EA"/>
    <w:rsid w:val="00D939F9"/>
    <w:rsid w:val="00DA16F5"/>
    <w:rsid w:val="00DB36CC"/>
    <w:rsid w:val="00DF3B94"/>
    <w:rsid w:val="00E42BD5"/>
    <w:rsid w:val="00E6384B"/>
    <w:rsid w:val="00EE70BB"/>
    <w:rsid w:val="00F32303"/>
    <w:rsid w:val="00F5294D"/>
    <w:rsid w:val="00F57CA4"/>
    <w:rsid w:val="00F637FD"/>
    <w:rsid w:val="00F64DF0"/>
    <w:rsid w:val="00F9167F"/>
    <w:rsid w:val="00FB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753"/>
    <w:pPr>
      <w:spacing w:after="200" w:line="276"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4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0451"/>
    <w:rPr>
      <w:rFonts w:ascii="Tahoma" w:hAnsi="Tahoma" w:cs="Tahoma"/>
      <w:sz w:val="16"/>
      <w:szCs w:val="16"/>
    </w:rPr>
  </w:style>
  <w:style w:type="character" w:styleId="Hyperlink">
    <w:name w:val="Hyperlink"/>
    <w:basedOn w:val="DefaultParagraphFont"/>
    <w:uiPriority w:val="99"/>
    <w:rsid w:val="0048785A"/>
    <w:rPr>
      <w:rFonts w:cs="Times New Roman"/>
      <w:color w:val="0000FF"/>
      <w:u w:val="single"/>
    </w:rPr>
  </w:style>
  <w:style w:type="table" w:styleId="TableGrid">
    <w:name w:val="Table Grid"/>
    <w:basedOn w:val="TableNormal"/>
    <w:uiPriority w:val="99"/>
    <w:rsid w:val="00D70407"/>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CD1B84"/>
    <w:rPr>
      <w:rFonts w:cs="Times New Roman"/>
      <w:color w:val="800080"/>
      <w:u w:val="single"/>
    </w:rPr>
  </w:style>
  <w:style w:type="paragraph" w:styleId="DocumentMap">
    <w:name w:val="Document Map"/>
    <w:basedOn w:val="Normal"/>
    <w:link w:val="DocumentMapChar"/>
    <w:uiPriority w:val="99"/>
    <w:semiHidden/>
    <w:rsid w:val="008108C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D74BB"/>
    <w:rPr>
      <w:rFonts w:ascii="Times New Roman" w:hAnsi="Times New Roman" w:cs="Times New Roman"/>
      <w:sz w:val="2"/>
      <w:szCs w:val="2"/>
    </w:rPr>
  </w:style>
  <w:style w:type="character" w:styleId="CommentReference">
    <w:name w:val="annotation reference"/>
    <w:basedOn w:val="DefaultParagraphFont"/>
    <w:uiPriority w:val="99"/>
    <w:semiHidden/>
    <w:rsid w:val="00D51DCA"/>
    <w:rPr>
      <w:rFonts w:cs="Times New Roman"/>
      <w:sz w:val="16"/>
      <w:szCs w:val="16"/>
    </w:rPr>
  </w:style>
  <w:style w:type="paragraph" w:styleId="CommentText">
    <w:name w:val="annotation text"/>
    <w:basedOn w:val="Normal"/>
    <w:link w:val="CommentTextChar"/>
    <w:uiPriority w:val="99"/>
    <w:semiHidden/>
    <w:rsid w:val="00D51DCA"/>
    <w:rPr>
      <w:sz w:val="20"/>
      <w:szCs w:val="20"/>
    </w:rPr>
  </w:style>
  <w:style w:type="character" w:customStyle="1" w:styleId="CommentTextChar">
    <w:name w:val="Comment Text Char"/>
    <w:basedOn w:val="DefaultParagraphFont"/>
    <w:link w:val="CommentText"/>
    <w:uiPriority w:val="99"/>
    <w:semiHidden/>
    <w:locked/>
    <w:rsid w:val="00AD74BB"/>
    <w:rPr>
      <w:rFonts w:cs="Times New Roman"/>
      <w:sz w:val="20"/>
      <w:szCs w:val="20"/>
    </w:rPr>
  </w:style>
  <w:style w:type="paragraph" w:styleId="CommentSubject">
    <w:name w:val="annotation subject"/>
    <w:basedOn w:val="CommentText"/>
    <w:next w:val="CommentText"/>
    <w:link w:val="CommentSubjectChar"/>
    <w:uiPriority w:val="99"/>
    <w:semiHidden/>
    <w:rsid w:val="00D51DCA"/>
    <w:rPr>
      <w:b/>
      <w:bCs/>
    </w:rPr>
  </w:style>
  <w:style w:type="character" w:customStyle="1" w:styleId="CommentSubjectChar">
    <w:name w:val="Comment Subject Char"/>
    <w:basedOn w:val="CommentTextChar"/>
    <w:link w:val="CommentSubject"/>
    <w:uiPriority w:val="99"/>
    <w:semiHidden/>
    <w:locked/>
    <w:rsid w:val="00AD74BB"/>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753"/>
    <w:pPr>
      <w:spacing w:after="200" w:line="276"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4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0451"/>
    <w:rPr>
      <w:rFonts w:ascii="Tahoma" w:hAnsi="Tahoma" w:cs="Tahoma"/>
      <w:sz w:val="16"/>
      <w:szCs w:val="16"/>
    </w:rPr>
  </w:style>
  <w:style w:type="character" w:styleId="Hyperlink">
    <w:name w:val="Hyperlink"/>
    <w:basedOn w:val="DefaultParagraphFont"/>
    <w:uiPriority w:val="99"/>
    <w:rsid w:val="0048785A"/>
    <w:rPr>
      <w:rFonts w:cs="Times New Roman"/>
      <w:color w:val="0000FF"/>
      <w:u w:val="single"/>
    </w:rPr>
  </w:style>
  <w:style w:type="table" w:styleId="TableGrid">
    <w:name w:val="Table Grid"/>
    <w:basedOn w:val="TableNormal"/>
    <w:uiPriority w:val="99"/>
    <w:rsid w:val="00D70407"/>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CD1B84"/>
    <w:rPr>
      <w:rFonts w:cs="Times New Roman"/>
      <w:color w:val="800080"/>
      <w:u w:val="single"/>
    </w:rPr>
  </w:style>
  <w:style w:type="paragraph" w:styleId="DocumentMap">
    <w:name w:val="Document Map"/>
    <w:basedOn w:val="Normal"/>
    <w:link w:val="DocumentMapChar"/>
    <w:uiPriority w:val="99"/>
    <w:semiHidden/>
    <w:rsid w:val="008108C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D74BB"/>
    <w:rPr>
      <w:rFonts w:ascii="Times New Roman" w:hAnsi="Times New Roman" w:cs="Times New Roman"/>
      <w:sz w:val="2"/>
      <w:szCs w:val="2"/>
    </w:rPr>
  </w:style>
  <w:style w:type="character" w:styleId="CommentReference">
    <w:name w:val="annotation reference"/>
    <w:basedOn w:val="DefaultParagraphFont"/>
    <w:uiPriority w:val="99"/>
    <w:semiHidden/>
    <w:rsid w:val="00D51DCA"/>
    <w:rPr>
      <w:rFonts w:cs="Times New Roman"/>
      <w:sz w:val="16"/>
      <w:szCs w:val="16"/>
    </w:rPr>
  </w:style>
  <w:style w:type="paragraph" w:styleId="CommentText">
    <w:name w:val="annotation text"/>
    <w:basedOn w:val="Normal"/>
    <w:link w:val="CommentTextChar"/>
    <w:uiPriority w:val="99"/>
    <w:semiHidden/>
    <w:rsid w:val="00D51DCA"/>
    <w:rPr>
      <w:sz w:val="20"/>
      <w:szCs w:val="20"/>
    </w:rPr>
  </w:style>
  <w:style w:type="character" w:customStyle="1" w:styleId="CommentTextChar">
    <w:name w:val="Comment Text Char"/>
    <w:basedOn w:val="DefaultParagraphFont"/>
    <w:link w:val="CommentText"/>
    <w:uiPriority w:val="99"/>
    <w:semiHidden/>
    <w:locked/>
    <w:rsid w:val="00AD74BB"/>
    <w:rPr>
      <w:rFonts w:cs="Times New Roman"/>
      <w:sz w:val="20"/>
      <w:szCs w:val="20"/>
    </w:rPr>
  </w:style>
  <w:style w:type="paragraph" w:styleId="CommentSubject">
    <w:name w:val="annotation subject"/>
    <w:basedOn w:val="CommentText"/>
    <w:next w:val="CommentText"/>
    <w:link w:val="CommentSubjectChar"/>
    <w:uiPriority w:val="99"/>
    <w:semiHidden/>
    <w:rsid w:val="00D51DCA"/>
    <w:rPr>
      <w:b/>
      <w:bCs/>
    </w:rPr>
  </w:style>
  <w:style w:type="character" w:customStyle="1" w:styleId="CommentSubjectChar">
    <w:name w:val="Comment Subject Char"/>
    <w:basedOn w:val="CommentTextChar"/>
    <w:link w:val="CommentSubject"/>
    <w:uiPriority w:val="99"/>
    <w:semiHidden/>
    <w:locked/>
    <w:rsid w:val="00AD74B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ealth.gov.on.ca/patient_safety/public/cdad/cdad_pub_fs.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550408192840934"/>
          <c:y val="2.645736161960649E-2"/>
          <c:w val="0.76364668373508582"/>
          <c:h val="0.64603741411304516"/>
        </c:manualLayout>
      </c:layout>
      <c:lineChart>
        <c:grouping val="standard"/>
        <c:varyColors val="0"/>
        <c:ser>
          <c:idx val="0"/>
          <c:order val="0"/>
          <c:tx>
            <c:strRef>
              <c:f>Sheet1!$B$1</c:f>
              <c:strCache>
                <c:ptCount val="1"/>
                <c:pt idx="0">
                  <c:v>NHH C-Diff Rate</c:v>
                </c:pt>
              </c:strCache>
            </c:strRef>
          </c:tx>
          <c:spPr>
            <a:ln w="19050">
              <a:solidFill>
                <a:srgbClr val="000080"/>
              </a:solidFill>
              <a:prstDash val="solid"/>
            </a:ln>
          </c:spPr>
          <c:marker>
            <c:spPr>
              <a:solidFill>
                <a:srgbClr val="000080"/>
              </a:solidFill>
              <a:ln w="19050">
                <a:solidFill>
                  <a:srgbClr val="000080"/>
                </a:solidFill>
                <a:prstDash val="solid"/>
              </a:ln>
            </c:spPr>
          </c:marker>
          <c:cat>
            <c:strRef>
              <c:f>Sheet1!$A$2:$A$35</c:f>
              <c:strCache>
                <c:ptCount val="19"/>
                <c:pt idx="0">
                  <c:v>Jul 2011</c:v>
                </c:pt>
                <c:pt idx="1">
                  <c:v>Aug </c:v>
                </c:pt>
                <c:pt idx="2">
                  <c:v>Sept </c:v>
                </c:pt>
                <c:pt idx="3">
                  <c:v>Oct </c:v>
                </c:pt>
                <c:pt idx="4">
                  <c:v>Nov</c:v>
                </c:pt>
                <c:pt idx="5">
                  <c:v>Dec</c:v>
                </c:pt>
                <c:pt idx="6">
                  <c:v>Jan 2011</c:v>
                </c:pt>
                <c:pt idx="7">
                  <c:v>Feb </c:v>
                </c:pt>
                <c:pt idx="8">
                  <c:v>Mar </c:v>
                </c:pt>
                <c:pt idx="9">
                  <c:v>Apr</c:v>
                </c:pt>
                <c:pt idx="10">
                  <c:v>May </c:v>
                </c:pt>
                <c:pt idx="11">
                  <c:v>June </c:v>
                </c:pt>
                <c:pt idx="12">
                  <c:v>July</c:v>
                </c:pt>
                <c:pt idx="13">
                  <c:v>Aug </c:v>
                </c:pt>
                <c:pt idx="14">
                  <c:v>Sept</c:v>
                </c:pt>
                <c:pt idx="15">
                  <c:v>Oct</c:v>
                </c:pt>
                <c:pt idx="16">
                  <c:v>Nov</c:v>
                </c:pt>
                <c:pt idx="17">
                  <c:v>Dec</c:v>
                </c:pt>
                <c:pt idx="18">
                  <c:v>Jan 2012</c:v>
                </c:pt>
              </c:strCache>
            </c:strRef>
          </c:cat>
          <c:val>
            <c:numRef>
              <c:f>Sheet1!$B$2:$B$35</c:f>
              <c:numCache>
                <c:formatCode>General</c:formatCode>
                <c:ptCount val="19"/>
                <c:pt idx="0">
                  <c:v>1.49</c:v>
                </c:pt>
                <c:pt idx="1">
                  <c:v>0</c:v>
                </c:pt>
                <c:pt idx="2">
                  <c:v>0</c:v>
                </c:pt>
                <c:pt idx="3">
                  <c:v>0.34</c:v>
                </c:pt>
                <c:pt idx="4">
                  <c:v>0</c:v>
                </c:pt>
                <c:pt idx="5">
                  <c:v>0</c:v>
                </c:pt>
                <c:pt idx="6">
                  <c:v>0</c:v>
                </c:pt>
                <c:pt idx="7">
                  <c:v>0</c:v>
                </c:pt>
                <c:pt idx="8">
                  <c:v>0.36</c:v>
                </c:pt>
                <c:pt idx="9">
                  <c:v>0</c:v>
                </c:pt>
                <c:pt idx="10">
                  <c:v>0.39</c:v>
                </c:pt>
                <c:pt idx="11">
                  <c:v>0</c:v>
                </c:pt>
                <c:pt idx="12">
                  <c:v>0</c:v>
                </c:pt>
                <c:pt idx="13">
                  <c:v>0.41</c:v>
                </c:pt>
                <c:pt idx="14">
                  <c:v>0</c:v>
                </c:pt>
                <c:pt idx="15">
                  <c:v>0</c:v>
                </c:pt>
                <c:pt idx="16">
                  <c:v>0.39</c:v>
                </c:pt>
                <c:pt idx="17">
                  <c:v>0.39</c:v>
                </c:pt>
                <c:pt idx="18">
                  <c:v>1.04</c:v>
                </c:pt>
              </c:numCache>
            </c:numRef>
          </c:val>
          <c:smooth val="0"/>
        </c:ser>
        <c:ser>
          <c:idx val="1"/>
          <c:order val="1"/>
          <c:tx>
            <c:strRef>
              <c:f>Sheet1!$C$1</c:f>
              <c:strCache>
                <c:ptCount val="1"/>
                <c:pt idx="0">
                  <c:v>Provincial Rate</c:v>
                </c:pt>
              </c:strCache>
            </c:strRef>
          </c:tx>
          <c:spPr>
            <a:ln w="19050">
              <a:solidFill>
                <a:srgbClr val="FF00FF"/>
              </a:solidFill>
              <a:prstDash val="solid"/>
            </a:ln>
          </c:spPr>
          <c:marker>
            <c:spPr>
              <a:solidFill>
                <a:srgbClr val="FF00FF"/>
              </a:solidFill>
              <a:ln w="19050">
                <a:solidFill>
                  <a:srgbClr val="FF00FF"/>
                </a:solidFill>
                <a:prstDash val="solid"/>
              </a:ln>
            </c:spPr>
          </c:marker>
          <c:cat>
            <c:strRef>
              <c:f>Sheet1!$A$2:$A$35</c:f>
              <c:strCache>
                <c:ptCount val="19"/>
                <c:pt idx="0">
                  <c:v>Jul 2011</c:v>
                </c:pt>
                <c:pt idx="1">
                  <c:v>Aug </c:v>
                </c:pt>
                <c:pt idx="2">
                  <c:v>Sept </c:v>
                </c:pt>
                <c:pt idx="3">
                  <c:v>Oct </c:v>
                </c:pt>
                <c:pt idx="4">
                  <c:v>Nov</c:v>
                </c:pt>
                <c:pt idx="5">
                  <c:v>Dec</c:v>
                </c:pt>
                <c:pt idx="6">
                  <c:v>Jan 2011</c:v>
                </c:pt>
                <c:pt idx="7">
                  <c:v>Feb </c:v>
                </c:pt>
                <c:pt idx="8">
                  <c:v>Mar </c:v>
                </c:pt>
                <c:pt idx="9">
                  <c:v>Apr</c:v>
                </c:pt>
                <c:pt idx="10">
                  <c:v>May </c:v>
                </c:pt>
                <c:pt idx="11">
                  <c:v>June </c:v>
                </c:pt>
                <c:pt idx="12">
                  <c:v>July</c:v>
                </c:pt>
                <c:pt idx="13">
                  <c:v>Aug </c:v>
                </c:pt>
                <c:pt idx="14">
                  <c:v>Sept</c:v>
                </c:pt>
                <c:pt idx="15">
                  <c:v>Oct</c:v>
                </c:pt>
                <c:pt idx="16">
                  <c:v>Nov</c:v>
                </c:pt>
                <c:pt idx="17">
                  <c:v>Dec</c:v>
                </c:pt>
                <c:pt idx="18">
                  <c:v>Jan 2012</c:v>
                </c:pt>
              </c:strCache>
            </c:strRef>
          </c:cat>
          <c:val>
            <c:numRef>
              <c:f>Sheet1!$C$2:$C$35</c:f>
              <c:numCache>
                <c:formatCode>General</c:formatCode>
                <c:ptCount val="19"/>
                <c:pt idx="0">
                  <c:v>0.28999999999999998</c:v>
                </c:pt>
                <c:pt idx="1">
                  <c:v>0.28999999999999998</c:v>
                </c:pt>
                <c:pt idx="2">
                  <c:v>0.23</c:v>
                </c:pt>
                <c:pt idx="3">
                  <c:v>0.31</c:v>
                </c:pt>
                <c:pt idx="4">
                  <c:v>0.35</c:v>
                </c:pt>
                <c:pt idx="5">
                  <c:v>0.28999999999999998</c:v>
                </c:pt>
                <c:pt idx="6">
                  <c:v>0.34</c:v>
                </c:pt>
                <c:pt idx="7">
                  <c:v>0.34</c:v>
                </c:pt>
                <c:pt idx="8">
                  <c:v>0.33</c:v>
                </c:pt>
                <c:pt idx="9">
                  <c:v>0.34</c:v>
                </c:pt>
                <c:pt idx="10">
                  <c:v>0.4</c:v>
                </c:pt>
                <c:pt idx="11">
                  <c:v>0.36</c:v>
                </c:pt>
                <c:pt idx="12">
                  <c:v>0.34</c:v>
                </c:pt>
                <c:pt idx="13">
                  <c:v>0.32</c:v>
                </c:pt>
                <c:pt idx="14">
                  <c:v>0.31</c:v>
                </c:pt>
                <c:pt idx="15">
                  <c:v>0.35</c:v>
                </c:pt>
                <c:pt idx="16">
                  <c:v>0.33</c:v>
                </c:pt>
                <c:pt idx="17">
                  <c:v>0.36</c:v>
                </c:pt>
                <c:pt idx="18">
                  <c:v>0.35</c:v>
                </c:pt>
              </c:numCache>
            </c:numRef>
          </c:val>
          <c:smooth val="0"/>
        </c:ser>
        <c:dLbls>
          <c:showLegendKey val="0"/>
          <c:showVal val="0"/>
          <c:showCatName val="0"/>
          <c:showSerName val="0"/>
          <c:showPercent val="0"/>
          <c:showBubbleSize val="0"/>
        </c:dLbls>
        <c:marker val="1"/>
        <c:smooth val="0"/>
        <c:axId val="49887104"/>
        <c:axId val="49889280"/>
      </c:lineChart>
      <c:catAx>
        <c:axId val="49887104"/>
        <c:scaling>
          <c:orientation val="minMax"/>
        </c:scaling>
        <c:delete val="1"/>
        <c:axPos val="b"/>
        <c:majorTickMark val="out"/>
        <c:minorTickMark val="none"/>
        <c:tickLblPos val="none"/>
        <c:crossAx val="49889280"/>
        <c:crosses val="autoZero"/>
        <c:auto val="1"/>
        <c:lblAlgn val="ctr"/>
        <c:lblOffset val="100"/>
        <c:noMultiLvlLbl val="0"/>
      </c:catAx>
      <c:valAx>
        <c:axId val="49889280"/>
        <c:scaling>
          <c:orientation val="minMax"/>
          <c:max val="2"/>
        </c:scaling>
        <c:delete val="0"/>
        <c:axPos val="l"/>
        <c:numFmt formatCode="General" sourceLinked="1"/>
        <c:majorTickMark val="none"/>
        <c:minorTickMark val="none"/>
        <c:tickLblPos val="nextTo"/>
        <c:crossAx val="49887104"/>
        <c:crosses val="autoZero"/>
        <c:crossBetween val="between"/>
      </c:valAx>
      <c:dTable>
        <c:showHorzBorder val="1"/>
        <c:showVertBorder val="1"/>
        <c:showOutline val="1"/>
        <c:showKeys val="1"/>
        <c:txPr>
          <a:bodyPr/>
          <a:lstStyle/>
          <a:p>
            <a:pPr rtl="0">
              <a:defRPr sz="700" baseline="0"/>
            </a:pPr>
            <a:endParaRPr lang="en-US"/>
          </a:p>
        </c:txPr>
      </c:dTable>
      <c:spPr>
        <a:ln>
          <a:solidFill>
            <a:schemeClr val="bg1">
              <a:lumMod val="50000"/>
            </a:schemeClr>
          </a:solid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NHH</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Bell-Smith</dc:creator>
  <cp:lastModifiedBy>Stacy Connell</cp:lastModifiedBy>
  <cp:revision>2</cp:revision>
  <cp:lastPrinted>2011-12-21T20:53:00Z</cp:lastPrinted>
  <dcterms:created xsi:type="dcterms:W3CDTF">2012-02-21T15:23:00Z</dcterms:created>
  <dcterms:modified xsi:type="dcterms:W3CDTF">2012-02-21T15:23:00Z</dcterms:modified>
</cp:coreProperties>
</file>